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31C6B89" w:rsidR="00F92268" w:rsidRPr="00FF66BF" w:rsidRDefault="00420257" w:rsidP="00F246C7">
            <w:pPr>
              <w:pStyle w:val="RefTableHeader"/>
            </w:pPr>
            <w:r>
              <w:t>5833</w:t>
            </w:r>
            <w:r w:rsidR="001B3C21" w:rsidRPr="001B3C21">
              <w:t>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CE5772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17219375" w14:textId="08D4172C" w:rsidR="00E847C5" w:rsidRDefault="00420257" w:rsidP="007E5C16">
      <w:pPr>
        <w:pStyle w:val="Heading1"/>
      </w:pPr>
      <w:r w:rsidRPr="00420257">
        <w:t>Specialty Guideline Management</w:t>
      </w:r>
      <w:r>
        <w:br/>
      </w:r>
      <w:proofErr w:type="spellStart"/>
      <w:r w:rsidRPr="00420257">
        <w:t>Daybue</w:t>
      </w:r>
      <w:proofErr w:type="spellEnd"/>
    </w:p>
    <w:p w14:paraId="78861C92" w14:textId="6E6ED463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7F29CB39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7109E3" w:rsidRPr="00BD1CC1">
        <w:t>O</w:t>
      </w:r>
      <w:r w:rsidR="007109E3">
        <w:t>ver-the-counter</w:t>
      </w:r>
      <w:r w:rsidR="007109E3" w:rsidRPr="00BD1CC1">
        <w:t xml:space="preserve"> </w:t>
      </w:r>
      <w:r w:rsidR="007109E3">
        <w:t>(</w:t>
      </w:r>
      <w:r w:rsidRPr="00BD1CC1">
        <w:t>OTC</w:t>
      </w:r>
      <w:r w:rsidR="007109E3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075967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075967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4A0057DF" w:rsidR="00585FFF" w:rsidRPr="00BD1CC1" w:rsidRDefault="00420257" w:rsidP="00075967">
            <w:pPr>
              <w:pStyle w:val="TableDataUnpadded"/>
            </w:pPr>
            <w:proofErr w:type="spellStart"/>
            <w:r w:rsidRPr="00420257">
              <w:t>Daybue</w:t>
            </w:r>
            <w:proofErr w:type="spellEnd"/>
          </w:p>
        </w:tc>
        <w:tc>
          <w:tcPr>
            <w:tcW w:w="5595" w:type="dxa"/>
          </w:tcPr>
          <w:p w14:paraId="7E26A004" w14:textId="18794018" w:rsidR="00585FFF" w:rsidRPr="00BD1CC1" w:rsidRDefault="00420257" w:rsidP="00075967">
            <w:pPr>
              <w:pStyle w:val="TableDataUnpadded"/>
            </w:pPr>
            <w:proofErr w:type="spellStart"/>
            <w:r w:rsidRPr="00420257">
              <w:t>trofinetide</w:t>
            </w:r>
            <w:proofErr w:type="spellEnd"/>
          </w:p>
        </w:tc>
      </w:tr>
    </w:tbl>
    <w:bookmarkEnd w:id="0"/>
    <w:p w14:paraId="14CE6108" w14:textId="7C0AFA99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2C90F5F5" w14:textId="1F71C050" w:rsidR="00420257" w:rsidRPr="00AA472A" w:rsidRDefault="00420257" w:rsidP="00AA472A">
      <w:pPr>
        <w:pStyle w:val="BodyText"/>
      </w:pPr>
      <w:r w:rsidRPr="00420257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FB94C93" w:rsidR="00ED052F" w:rsidRDefault="00ED052F" w:rsidP="00ED052F">
      <w:pPr>
        <w:pStyle w:val="Heading3"/>
        <w:keepNext w:val="0"/>
      </w:pPr>
      <w:r w:rsidRPr="00BD1CC1">
        <w:t>FDA-approved Indications</w:t>
      </w:r>
      <w:r w:rsidR="00646BFD" w:rsidRPr="00646BFD">
        <w:rPr>
          <w:vertAlign w:val="superscript"/>
        </w:rPr>
        <w:t>1</w:t>
      </w:r>
    </w:p>
    <w:p w14:paraId="7F8C9733" w14:textId="375A298D" w:rsidR="00420257" w:rsidRDefault="00420257" w:rsidP="00420257">
      <w:pPr>
        <w:pStyle w:val="BodyText"/>
      </w:pPr>
      <w:proofErr w:type="spellStart"/>
      <w:r w:rsidRPr="00420257">
        <w:t>Daybue</w:t>
      </w:r>
      <w:proofErr w:type="spellEnd"/>
      <w:r w:rsidRPr="00420257">
        <w:t xml:space="preserve"> is indicated for the treatment of Rett syndrome in adults and pediatric patients 2 years of age and older.</w:t>
      </w:r>
    </w:p>
    <w:p w14:paraId="36381B6D" w14:textId="11FDB489" w:rsidR="000D2496" w:rsidRDefault="000D2496" w:rsidP="000D2496">
      <w:pPr>
        <w:pStyle w:val="Heading2"/>
      </w:pPr>
      <w:r w:rsidRPr="00BD1CC1">
        <w:t>Documentation</w:t>
      </w:r>
    </w:p>
    <w:p w14:paraId="48957943" w14:textId="77777777" w:rsidR="00420257" w:rsidRDefault="00420257" w:rsidP="00420257">
      <w:pPr>
        <w:pStyle w:val="BodyText"/>
      </w:pPr>
      <w:r>
        <w:t>Submission of the following information is necessary to initiate the prior authorization review for initial requests:</w:t>
      </w:r>
    </w:p>
    <w:p w14:paraId="2959CC25" w14:textId="184F49B7" w:rsidR="00420257" w:rsidRPr="00420257" w:rsidRDefault="00420257" w:rsidP="192A12F4">
      <w:pPr>
        <w:pStyle w:val="ListParagraph"/>
      </w:pPr>
      <w:r>
        <w:t xml:space="preserve">Genetic testing results confirming a </w:t>
      </w:r>
      <w:r w:rsidR="49CCC7FE">
        <w:t>pathogenic variant</w:t>
      </w:r>
      <w:r>
        <w:t xml:space="preserve"> in the MECP2 gene.</w:t>
      </w:r>
    </w:p>
    <w:p w14:paraId="7C1E7C8C" w14:textId="52A20B91" w:rsidR="00420257" w:rsidRPr="00420257" w:rsidRDefault="00420257" w:rsidP="00420257">
      <w:pPr>
        <w:pStyle w:val="ListParagraph"/>
        <w:numPr>
          <w:ilvl w:val="0"/>
          <w:numId w:val="28"/>
        </w:numPr>
      </w:pPr>
      <w:r w:rsidRPr="00420257">
        <w:t>Medical records documenting clinical manifestations of disease.</w:t>
      </w:r>
    </w:p>
    <w:p w14:paraId="7DDAC4FC" w14:textId="37C02043" w:rsidR="00016A2E" w:rsidRDefault="00420257" w:rsidP="00420257">
      <w:pPr>
        <w:pStyle w:val="Heading2"/>
        <w:tabs>
          <w:tab w:val="left" w:pos="9160"/>
        </w:tabs>
        <w:rPr>
          <w:rFonts w:eastAsia="Arial"/>
        </w:rPr>
      </w:pPr>
      <w:r w:rsidRPr="00420257">
        <w:rPr>
          <w:rFonts w:eastAsia="Arial"/>
        </w:rPr>
        <w:lastRenderedPageBreak/>
        <w:t>Prescriber Specialties</w:t>
      </w:r>
    </w:p>
    <w:p w14:paraId="7F8E7126" w14:textId="7D0BB247" w:rsidR="00420257" w:rsidRDefault="00420257" w:rsidP="00420257">
      <w:pPr>
        <w:pStyle w:val="BodyText"/>
        <w:rPr>
          <w:rFonts w:eastAsia="Arial"/>
        </w:rPr>
      </w:pPr>
      <w:r w:rsidRPr="00420257">
        <w:rPr>
          <w:rFonts w:eastAsia="Arial"/>
        </w:rPr>
        <w:t>This medication must be prescribed by or in consultation with a physician who specializes in the treatment of Rett syndrome.</w:t>
      </w:r>
    </w:p>
    <w:p w14:paraId="6FF28E39" w14:textId="36ABC3E2" w:rsidR="00420257" w:rsidRDefault="00420257" w:rsidP="00420257">
      <w:pPr>
        <w:pStyle w:val="Heading2"/>
        <w:rPr>
          <w:rFonts w:eastAsia="Arial"/>
        </w:rPr>
      </w:pPr>
      <w:r>
        <w:rPr>
          <w:rFonts w:eastAsia="Arial"/>
        </w:rPr>
        <w:t>Coverage Criteria</w:t>
      </w:r>
    </w:p>
    <w:p w14:paraId="655A8E5F" w14:textId="77777777" w:rsidR="00420257" w:rsidRPr="00420257" w:rsidRDefault="00420257" w:rsidP="00420257">
      <w:pPr>
        <w:pStyle w:val="Heading3"/>
        <w:rPr>
          <w:rFonts w:eastAsia="Arial"/>
        </w:rPr>
      </w:pPr>
      <w:r w:rsidRPr="00420257">
        <w:rPr>
          <w:rFonts w:eastAsia="Arial"/>
        </w:rPr>
        <w:t>Rett Syndrome</w:t>
      </w:r>
      <w:r w:rsidRPr="00420257">
        <w:rPr>
          <w:rFonts w:eastAsia="Arial"/>
          <w:vertAlign w:val="superscript"/>
        </w:rPr>
        <w:t>1-3</w:t>
      </w:r>
    </w:p>
    <w:p w14:paraId="5E14B9C3" w14:textId="77777777" w:rsidR="00420257" w:rsidRPr="00420257" w:rsidRDefault="00420257" w:rsidP="00420257">
      <w:pPr>
        <w:pStyle w:val="BodyText"/>
        <w:rPr>
          <w:rFonts w:eastAsia="Arial"/>
        </w:rPr>
      </w:pPr>
      <w:r w:rsidRPr="00420257">
        <w:rPr>
          <w:rFonts w:eastAsia="Arial"/>
        </w:rPr>
        <w:t>Authorization of 12 months may be granted for treatment of Rett syndrome when all of the following criteria are met:</w:t>
      </w:r>
    </w:p>
    <w:p w14:paraId="5C275337" w14:textId="4B89BB84" w:rsidR="00420257" w:rsidRPr="00420257" w:rsidRDefault="00420257" w:rsidP="00420257">
      <w:pPr>
        <w:pStyle w:val="ListParagraph"/>
        <w:numPr>
          <w:ilvl w:val="0"/>
          <w:numId w:val="30"/>
        </w:numPr>
      </w:pPr>
      <w:r w:rsidRPr="00420257">
        <w:t>Member is 2 years of age or older.</w:t>
      </w:r>
    </w:p>
    <w:p w14:paraId="6BB05BF7" w14:textId="2C2C16BE" w:rsidR="00420257" w:rsidRPr="00420257" w:rsidRDefault="00420257" w:rsidP="192A12F4">
      <w:pPr>
        <w:pStyle w:val="ListParagraph"/>
      </w:pPr>
      <w:r>
        <w:t xml:space="preserve">The diagnosis is confirmed by a </w:t>
      </w:r>
      <w:r w:rsidR="475D7195">
        <w:t>pathogenic variant</w:t>
      </w:r>
      <w:r>
        <w:t xml:space="preserve"> in the MECP2 gene.</w:t>
      </w:r>
    </w:p>
    <w:p w14:paraId="0A654ED5" w14:textId="1439C9C7" w:rsidR="00420257" w:rsidRPr="00420257" w:rsidRDefault="00420257" w:rsidP="00420257">
      <w:pPr>
        <w:pStyle w:val="ListParagraph"/>
        <w:numPr>
          <w:ilvl w:val="0"/>
          <w:numId w:val="30"/>
        </w:numPr>
        <w:rPr>
          <w:rFonts w:eastAsia="Arial"/>
        </w:rPr>
      </w:pPr>
      <w:r w:rsidRPr="00420257">
        <w:t>Member exhibits clinical manifestations of disease (e.g., hand wringing, apraxia, gait abnormalities, developmental delays).</w:t>
      </w:r>
    </w:p>
    <w:p w14:paraId="3A643EC3" w14:textId="2E569936" w:rsidR="00A501AC" w:rsidRPr="00BD1CC1" w:rsidRDefault="00A501AC" w:rsidP="00A501AC">
      <w:pPr>
        <w:pStyle w:val="Heading2"/>
      </w:pPr>
      <w:r w:rsidRPr="00BD1CC1">
        <w:t>Continuation of Therapy</w:t>
      </w:r>
    </w:p>
    <w:p w14:paraId="16DD4BD9" w14:textId="7C54532B" w:rsidR="00420257" w:rsidRPr="003D46B0" w:rsidRDefault="00420257" w:rsidP="003D46B0">
      <w:pPr>
        <w:pStyle w:val="BodyText"/>
      </w:pPr>
      <w:r w:rsidRPr="00420257">
        <w:t xml:space="preserve">Authorization of 12 months may be granted for continued treatment in members requesting reauthorization for an indication listed in </w:t>
      </w:r>
      <w:r w:rsidR="008A540C">
        <w:t xml:space="preserve">the </w:t>
      </w:r>
      <w:r w:rsidR="0056216D">
        <w:t>c</w:t>
      </w:r>
      <w:r w:rsidR="008A540C">
        <w:t xml:space="preserve">overage </w:t>
      </w:r>
      <w:r w:rsidR="0056216D">
        <w:t>c</w:t>
      </w:r>
      <w:r w:rsidR="008A540C">
        <w:t>riteria</w:t>
      </w:r>
      <w:r w:rsidRPr="00420257">
        <w:t xml:space="preserve"> who are experiencing benefit from therapy (e.g., stabilization or improvement in repetitive movements, mood dysfunction/disruptive behavior, vocalization, ambulation).</w:t>
      </w:r>
    </w:p>
    <w:p w14:paraId="10DA4309" w14:textId="0981C8DC" w:rsidR="00FF66BF" w:rsidRPr="008D1B34" w:rsidRDefault="00FF66BF" w:rsidP="00FF66BF">
      <w:pPr>
        <w:pStyle w:val="Heading2"/>
      </w:pPr>
      <w:r w:rsidRPr="008D1B34">
        <w:t>References</w:t>
      </w:r>
    </w:p>
    <w:p w14:paraId="2A5759B0" w14:textId="20DD8F99" w:rsidR="00420257" w:rsidRDefault="00420257" w:rsidP="00420257">
      <w:pPr>
        <w:pStyle w:val="ReferenceOrdered"/>
      </w:pPr>
      <w:proofErr w:type="spellStart"/>
      <w:r>
        <w:t>Daybue</w:t>
      </w:r>
      <w:proofErr w:type="spellEnd"/>
      <w:r>
        <w:t xml:space="preserve"> [package insert]. San Diego, CA: Acadia Pharmaceuticals, Inc.; </w:t>
      </w:r>
      <w:r w:rsidR="0045107E">
        <w:t>September 2024</w:t>
      </w:r>
      <w:r>
        <w:t>.</w:t>
      </w:r>
    </w:p>
    <w:p w14:paraId="74186CE8" w14:textId="77777777" w:rsidR="00420257" w:rsidRDefault="00420257" w:rsidP="00420257">
      <w:pPr>
        <w:pStyle w:val="ReferenceOrdered"/>
      </w:pPr>
      <w:r w:rsidRPr="008B5B4D">
        <w:rPr>
          <w:lang w:val="nb-NO"/>
        </w:rPr>
        <w:t xml:space="preserve">Neul JL, Percy AK, Benke TA, et al. </w:t>
      </w:r>
      <w:r>
        <w:t xml:space="preserve">Design and outcome measures of LAVENDER, a phase 3 study of </w:t>
      </w:r>
      <w:proofErr w:type="spellStart"/>
      <w:r>
        <w:t>trofinetide</w:t>
      </w:r>
      <w:proofErr w:type="spellEnd"/>
      <w:r>
        <w:t xml:space="preserve"> for Rett syndrome. </w:t>
      </w:r>
      <w:proofErr w:type="spellStart"/>
      <w:r>
        <w:t>Contemp</w:t>
      </w:r>
      <w:proofErr w:type="spellEnd"/>
      <w:r>
        <w:t xml:space="preserve"> Clin Trials. 2022;114:106704.</w:t>
      </w:r>
    </w:p>
    <w:p w14:paraId="0DFA5B6F" w14:textId="54D31993" w:rsidR="00420257" w:rsidRDefault="00420257" w:rsidP="00310F81">
      <w:pPr>
        <w:pStyle w:val="ReferenceOrdered"/>
        <w:widowControl w:val="0"/>
      </w:pPr>
      <w:proofErr w:type="spellStart"/>
      <w:r>
        <w:t>Neul</w:t>
      </w:r>
      <w:proofErr w:type="spellEnd"/>
      <w:r>
        <w:t xml:space="preserve"> JL, </w:t>
      </w:r>
      <w:proofErr w:type="spellStart"/>
      <w:r>
        <w:t>Eskind</w:t>
      </w:r>
      <w:proofErr w:type="spellEnd"/>
      <w:r>
        <w:t xml:space="preserve"> AS. Rett syndrome: NORD. National Organization for Rare Disorders. https://rarediseases.org/rare-diseases/rett-syndrome/#complete-report  Published March 15, 2023. Accessed February </w:t>
      </w:r>
      <w:r w:rsidR="00706490">
        <w:t>10</w:t>
      </w:r>
      <w:r>
        <w:t xml:space="preserve">, </w:t>
      </w:r>
      <w:r w:rsidR="00706490">
        <w:t>2025</w:t>
      </w:r>
      <w:r>
        <w:t>.</w:t>
      </w:r>
    </w:p>
    <w:sectPr w:rsidR="00420257" w:rsidSect="009E531B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416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CF52B" w14:textId="77777777" w:rsidR="00EE0DB8" w:rsidRDefault="00EE0DB8">
      <w:r>
        <w:separator/>
      </w:r>
    </w:p>
  </w:endnote>
  <w:endnote w:type="continuationSeparator" w:id="0">
    <w:p w14:paraId="70CABE38" w14:textId="77777777" w:rsidR="00EE0DB8" w:rsidRDefault="00EE0DB8">
      <w:r>
        <w:continuationSeparator/>
      </w:r>
    </w:p>
  </w:endnote>
  <w:endnote w:type="continuationNotice" w:id="1">
    <w:p w14:paraId="1AAAD745" w14:textId="77777777" w:rsidR="00EE0DB8" w:rsidRDefault="00EE0D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69B5508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72733" w:rsidRPr="00F72733">
      <w:rPr>
        <w:rFonts w:cs="Arial"/>
        <w:noProof/>
        <w:sz w:val="16"/>
        <w:szCs w:val="16"/>
      </w:rPr>
      <w:t>Daybue</w:t>
    </w:r>
    <w:r w:rsidR="00F72733">
      <w:rPr>
        <w:rFonts w:cs="Arial"/>
        <w:noProof/>
        <w:snapToGrid w:val="0"/>
        <w:color w:val="000000"/>
        <w:sz w:val="16"/>
        <w:szCs w:val="16"/>
      </w:rPr>
      <w:t xml:space="preserve"> SGM 5833-A</w:t>
    </w:r>
    <w:r w:rsidR="00F72733" w:rsidRPr="00F72733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45107E" w:rsidRPr="00EC47B6">
      <w:rPr>
        <w:rFonts w:cs="Arial"/>
        <w:snapToGrid w:val="0"/>
        <w:color w:val="000000"/>
        <w:sz w:val="16"/>
      </w:rPr>
      <w:t>202</w:t>
    </w:r>
    <w:r w:rsidR="0045107E">
      <w:rPr>
        <w:rFonts w:cs="Arial"/>
        <w:snapToGrid w:val="0"/>
        <w:color w:val="000000"/>
        <w:sz w:val="16"/>
      </w:rPr>
      <w:t xml:space="preserve">5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61CF5924" w14:textId="4085F544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4582429" w:rsidR="00F75C81" w:rsidRPr="00AA1E6A" w:rsidRDefault="00C36B72" w:rsidP="00D51ACD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088F5EC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72733" w:rsidRPr="00F72733">
      <w:rPr>
        <w:rFonts w:cs="Arial"/>
        <w:noProof/>
        <w:sz w:val="16"/>
        <w:szCs w:val="16"/>
      </w:rPr>
      <w:t>Daybue</w:t>
    </w:r>
    <w:r w:rsidR="00F72733">
      <w:rPr>
        <w:rFonts w:cs="Arial"/>
        <w:noProof/>
        <w:snapToGrid w:val="0"/>
        <w:color w:val="000000"/>
        <w:sz w:val="16"/>
        <w:szCs w:val="16"/>
      </w:rPr>
      <w:t xml:space="preserve"> SGM 5833-A</w:t>
    </w:r>
    <w:r w:rsidR="00F72733" w:rsidRPr="00F72733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45107E" w:rsidRPr="00EC47B6">
      <w:rPr>
        <w:rFonts w:cs="Arial"/>
        <w:snapToGrid w:val="0"/>
        <w:color w:val="000000"/>
        <w:sz w:val="16"/>
      </w:rPr>
      <w:t>202</w:t>
    </w:r>
    <w:r w:rsidR="0045107E">
      <w:rPr>
        <w:rFonts w:cs="Arial"/>
        <w:snapToGrid w:val="0"/>
        <w:color w:val="000000"/>
        <w:sz w:val="16"/>
      </w:rPr>
      <w:t>5</w:t>
    </w:r>
    <w:r w:rsidR="0045107E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39BFE579" w14:textId="62E9236F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2C179A7" w:rsidR="00ED04EC" w:rsidRPr="00F50D98" w:rsidRDefault="00F50D98" w:rsidP="00D51ACD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283CE" w14:textId="77777777" w:rsidR="00EE0DB8" w:rsidRDefault="00EE0DB8">
      <w:r>
        <w:separator/>
      </w:r>
    </w:p>
  </w:footnote>
  <w:footnote w:type="continuationSeparator" w:id="0">
    <w:p w14:paraId="4662F23E" w14:textId="77777777" w:rsidR="00EE0DB8" w:rsidRDefault="00EE0DB8">
      <w:r>
        <w:continuationSeparator/>
      </w:r>
    </w:p>
  </w:footnote>
  <w:footnote w:type="continuationNotice" w:id="1">
    <w:p w14:paraId="1B44E709" w14:textId="77777777" w:rsidR="00EE0DB8" w:rsidRDefault="00EE0D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A2294A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2294A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A2294A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A2294A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175066E9" w:rsidR="00ED04EC" w:rsidRPr="00A2294A" w:rsidRDefault="00420257" w:rsidP="00ED04EC">
          <w:pPr>
            <w:pStyle w:val="Header"/>
            <w:rPr>
              <w:rFonts w:cs="Arial"/>
              <w:sz w:val="16"/>
              <w:szCs w:val="16"/>
            </w:rPr>
          </w:pPr>
          <w:r w:rsidRPr="00A2294A">
            <w:rPr>
              <w:rFonts w:cs="Arial"/>
              <w:sz w:val="16"/>
              <w:szCs w:val="16"/>
            </w:rPr>
            <w:t>5833-A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68976B5" w:rsidR="000F5383" w:rsidRPr="00FF66BF" w:rsidRDefault="00420257" w:rsidP="009E1F57">
          <w:pPr>
            <w:pStyle w:val="RefTableHeader"/>
          </w:pPr>
          <w:r w:rsidRPr="00420257">
            <w:t>5833-A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2223C"/>
    <w:multiLevelType w:val="hybridMultilevel"/>
    <w:tmpl w:val="0D8AC44C"/>
    <w:lvl w:ilvl="0" w:tplc="0B92583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182CD0"/>
    <w:multiLevelType w:val="hybridMultilevel"/>
    <w:tmpl w:val="C006414C"/>
    <w:lvl w:ilvl="0" w:tplc="1764D5D4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73023C"/>
    <w:multiLevelType w:val="hybridMultilevel"/>
    <w:tmpl w:val="E9A61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D9484D"/>
    <w:multiLevelType w:val="hybridMultilevel"/>
    <w:tmpl w:val="E9CAA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7"/>
  </w:num>
  <w:num w:numId="3" w16cid:durableId="611589570">
    <w:abstractNumId w:val="23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9"/>
  </w:num>
  <w:num w:numId="18" w16cid:durableId="299724409">
    <w:abstractNumId w:val="24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30"/>
  </w:num>
  <w:num w:numId="22" w16cid:durableId="1472481103">
    <w:abstractNumId w:val="26"/>
  </w:num>
  <w:num w:numId="23" w16cid:durableId="1997420403">
    <w:abstractNumId w:val="28"/>
  </w:num>
  <w:num w:numId="24" w16cid:durableId="33312838">
    <w:abstractNumId w:val="25"/>
  </w:num>
  <w:num w:numId="25" w16cid:durableId="507404939">
    <w:abstractNumId w:val="16"/>
  </w:num>
  <w:num w:numId="26" w16cid:durableId="1950313333">
    <w:abstractNumId w:val="22"/>
  </w:num>
  <w:num w:numId="27" w16cid:durableId="1866016584">
    <w:abstractNumId w:val="18"/>
  </w:num>
  <w:num w:numId="28" w16cid:durableId="1395932015">
    <w:abstractNumId w:val="20"/>
  </w:num>
  <w:num w:numId="29" w16cid:durableId="1848908738">
    <w:abstractNumId w:val="15"/>
  </w:num>
  <w:num w:numId="30" w16cid:durableId="122163375">
    <w:abstractNumId w:val="21"/>
  </w:num>
  <w:num w:numId="31" w16cid:durableId="1417283694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3C7E"/>
    <w:rsid w:val="00023FA0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0A8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785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967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26F5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AFA"/>
    <w:rsid w:val="000B5E31"/>
    <w:rsid w:val="000B6086"/>
    <w:rsid w:val="000B61D7"/>
    <w:rsid w:val="000B64CF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3EDE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95D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6AB"/>
    <w:rsid w:val="000F1FBC"/>
    <w:rsid w:val="000F2A45"/>
    <w:rsid w:val="000F3023"/>
    <w:rsid w:val="000F41E3"/>
    <w:rsid w:val="000F4745"/>
    <w:rsid w:val="000F5383"/>
    <w:rsid w:val="000F5A0F"/>
    <w:rsid w:val="000F615C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3D4D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2B6"/>
    <w:rsid w:val="00173AB9"/>
    <w:rsid w:val="001747DB"/>
    <w:rsid w:val="00174F3B"/>
    <w:rsid w:val="00175B12"/>
    <w:rsid w:val="00175F8E"/>
    <w:rsid w:val="00176167"/>
    <w:rsid w:val="001765D6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3ED"/>
    <w:rsid w:val="00187BCC"/>
    <w:rsid w:val="00187C46"/>
    <w:rsid w:val="00190200"/>
    <w:rsid w:val="0019091E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3C2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5E58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75C"/>
    <w:rsid w:val="00211DE1"/>
    <w:rsid w:val="00212062"/>
    <w:rsid w:val="00213310"/>
    <w:rsid w:val="002134FD"/>
    <w:rsid w:val="002140F4"/>
    <w:rsid w:val="0021437E"/>
    <w:rsid w:val="0021440B"/>
    <w:rsid w:val="0021446F"/>
    <w:rsid w:val="002155CC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3CE2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1922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34"/>
    <w:rsid w:val="00267A90"/>
    <w:rsid w:val="002708AE"/>
    <w:rsid w:val="00271357"/>
    <w:rsid w:val="00272160"/>
    <w:rsid w:val="00272D78"/>
    <w:rsid w:val="00273E66"/>
    <w:rsid w:val="00273FEB"/>
    <w:rsid w:val="0027496D"/>
    <w:rsid w:val="002754FA"/>
    <w:rsid w:val="00275B83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6C16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B8E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6CF1"/>
    <w:rsid w:val="003070FF"/>
    <w:rsid w:val="00307499"/>
    <w:rsid w:val="00307DCC"/>
    <w:rsid w:val="00310F81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4C3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9C8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0AA2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05A0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25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15D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512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07E"/>
    <w:rsid w:val="00451431"/>
    <w:rsid w:val="004516EC"/>
    <w:rsid w:val="00451B29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B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5E5C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67B7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0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17C15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216D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8D9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6B49"/>
    <w:rsid w:val="005D7081"/>
    <w:rsid w:val="005D72EF"/>
    <w:rsid w:val="005D7947"/>
    <w:rsid w:val="005D7EA2"/>
    <w:rsid w:val="005E0BD2"/>
    <w:rsid w:val="005E1266"/>
    <w:rsid w:val="005E2BF1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A04"/>
    <w:rsid w:val="00637D18"/>
    <w:rsid w:val="0064175A"/>
    <w:rsid w:val="00642734"/>
    <w:rsid w:val="00642971"/>
    <w:rsid w:val="00642BEF"/>
    <w:rsid w:val="006434FA"/>
    <w:rsid w:val="00643E65"/>
    <w:rsid w:val="00643E90"/>
    <w:rsid w:val="006442D1"/>
    <w:rsid w:val="006447C5"/>
    <w:rsid w:val="0064565D"/>
    <w:rsid w:val="00645B20"/>
    <w:rsid w:val="00645D4F"/>
    <w:rsid w:val="00646BFD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354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306"/>
    <w:rsid w:val="00687C15"/>
    <w:rsid w:val="006909A7"/>
    <w:rsid w:val="006913AD"/>
    <w:rsid w:val="006917AF"/>
    <w:rsid w:val="006919C1"/>
    <w:rsid w:val="0069283D"/>
    <w:rsid w:val="00692A50"/>
    <w:rsid w:val="00692E0D"/>
    <w:rsid w:val="00693B34"/>
    <w:rsid w:val="00694A62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3B89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490"/>
    <w:rsid w:val="00706B11"/>
    <w:rsid w:val="00706FB2"/>
    <w:rsid w:val="00707218"/>
    <w:rsid w:val="007074F5"/>
    <w:rsid w:val="007109E3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1E80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4E89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77A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3B98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022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284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966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56E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39CF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1E15"/>
    <w:rsid w:val="00892A08"/>
    <w:rsid w:val="008943CF"/>
    <w:rsid w:val="008945D6"/>
    <w:rsid w:val="00895C0F"/>
    <w:rsid w:val="00895D84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0C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5B4D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28B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6E5F"/>
    <w:rsid w:val="008E7659"/>
    <w:rsid w:val="008E7F9D"/>
    <w:rsid w:val="008F05DE"/>
    <w:rsid w:val="008F09AE"/>
    <w:rsid w:val="008F0AC3"/>
    <w:rsid w:val="008F173A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2CA9"/>
    <w:rsid w:val="00934A46"/>
    <w:rsid w:val="00935411"/>
    <w:rsid w:val="00935BC3"/>
    <w:rsid w:val="00937266"/>
    <w:rsid w:val="00940AA9"/>
    <w:rsid w:val="00941264"/>
    <w:rsid w:val="0094143E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4A7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1775"/>
    <w:rsid w:val="0099311D"/>
    <w:rsid w:val="00993552"/>
    <w:rsid w:val="00993CD7"/>
    <w:rsid w:val="00994865"/>
    <w:rsid w:val="0099532A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1D31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31D0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531B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294A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56E4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72A"/>
    <w:rsid w:val="00AA4E3C"/>
    <w:rsid w:val="00AA58CD"/>
    <w:rsid w:val="00AA5FEE"/>
    <w:rsid w:val="00AA6624"/>
    <w:rsid w:val="00AA6E94"/>
    <w:rsid w:val="00AA7BC6"/>
    <w:rsid w:val="00AA7D6B"/>
    <w:rsid w:val="00AB0133"/>
    <w:rsid w:val="00AB03C3"/>
    <w:rsid w:val="00AB060C"/>
    <w:rsid w:val="00AB07BF"/>
    <w:rsid w:val="00AB0812"/>
    <w:rsid w:val="00AB09BC"/>
    <w:rsid w:val="00AB12D9"/>
    <w:rsid w:val="00AB1987"/>
    <w:rsid w:val="00AB2685"/>
    <w:rsid w:val="00AB2732"/>
    <w:rsid w:val="00AB299D"/>
    <w:rsid w:val="00AB2BF1"/>
    <w:rsid w:val="00AB3600"/>
    <w:rsid w:val="00AB3A4C"/>
    <w:rsid w:val="00AB3ACD"/>
    <w:rsid w:val="00AB3B7A"/>
    <w:rsid w:val="00AB48F8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492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38C7"/>
    <w:rsid w:val="00B13B6F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6AA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0AD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EEA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4415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14D7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B7C"/>
    <w:rsid w:val="00BD1CC1"/>
    <w:rsid w:val="00BD2A68"/>
    <w:rsid w:val="00BD2E54"/>
    <w:rsid w:val="00BD4349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3A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C87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06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2C2"/>
    <w:rsid w:val="00C64534"/>
    <w:rsid w:val="00C64859"/>
    <w:rsid w:val="00C65465"/>
    <w:rsid w:val="00C65502"/>
    <w:rsid w:val="00C65A83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64A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5772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0F8D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27CA2"/>
    <w:rsid w:val="00D30248"/>
    <w:rsid w:val="00D30A4B"/>
    <w:rsid w:val="00D314DB"/>
    <w:rsid w:val="00D31A54"/>
    <w:rsid w:val="00D3213A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ACD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061D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86F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95D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47C5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5FB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1D7"/>
    <w:rsid w:val="00EB73F2"/>
    <w:rsid w:val="00EB754D"/>
    <w:rsid w:val="00EB7929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47F2"/>
    <w:rsid w:val="00ED6038"/>
    <w:rsid w:val="00ED653F"/>
    <w:rsid w:val="00ED6550"/>
    <w:rsid w:val="00ED748E"/>
    <w:rsid w:val="00ED7D4A"/>
    <w:rsid w:val="00EE02E3"/>
    <w:rsid w:val="00EE07BA"/>
    <w:rsid w:val="00EE0D34"/>
    <w:rsid w:val="00EE0DB8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592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084E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3A1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390"/>
    <w:rsid w:val="00F72733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2B36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9F8"/>
    <w:rsid w:val="00FD3BCF"/>
    <w:rsid w:val="00FD4E5D"/>
    <w:rsid w:val="00FD5067"/>
    <w:rsid w:val="00FD6A0D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61A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11B4B468"/>
    <w:rsid w:val="175349C7"/>
    <w:rsid w:val="192A12F4"/>
    <w:rsid w:val="1DF28C98"/>
    <w:rsid w:val="23017B2D"/>
    <w:rsid w:val="29729D5D"/>
    <w:rsid w:val="475D7195"/>
    <w:rsid w:val="49CCC7FE"/>
    <w:rsid w:val="53C720EA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71B532-A4A4-4C7C-99AF-C3BDF1134AEA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2024</Characters>
  <Application>Microsoft Office Word</Application>
  <DocSecurity>0</DocSecurity>
  <Lines>49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Daybue 5833-A SGM 2024</vt:lpstr>
    </vt:vector>
  </TitlesOfParts>
  <Company>PCS Health Systems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Daybue SGM 5833-A</dc:title>
  <dc:subject/>
  <dc:creator>CVS Caremark</dc:creator>
  <cp:keywords/>
  <cp:lastModifiedBy>Huerta, Linda M</cp:lastModifiedBy>
  <cp:revision>4</cp:revision>
  <cp:lastPrinted>2024-04-15T13:42:00Z</cp:lastPrinted>
  <dcterms:created xsi:type="dcterms:W3CDTF">2025-06-30T21:40:00Z</dcterms:created>
  <dcterms:modified xsi:type="dcterms:W3CDTF">2025-06-30T21:44:00Z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684700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